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5B" w:rsidRDefault="00CB5F5B" w:rsidP="00CB5F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Задание выполни</w:t>
      </w:r>
      <w:proofErr w:type="gramStart"/>
      <w:r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л(</w:t>
      </w:r>
      <w:proofErr w:type="gramEnd"/>
      <w:r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а) аспирант_________________</w:t>
      </w:r>
      <w:r w:rsidR="00D74D0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__________</w:t>
      </w:r>
      <w:r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(ФИО)</w:t>
      </w:r>
    </w:p>
    <w:p w:rsidR="00D74D0A" w:rsidRPr="00CB5F5B" w:rsidRDefault="00D74D0A" w:rsidP="00CB5F5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Направление подготовки_________________  Дата____________</w:t>
      </w:r>
    </w:p>
    <w:p w:rsidR="00CB5F5B" w:rsidRDefault="00CB5F5B" w:rsidP="00CB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B5F5B" w:rsidRDefault="00A55620" w:rsidP="00A55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</w:t>
      </w:r>
      <w:r w:rsidR="00CB5F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Задание к лекции 1. </w:t>
      </w:r>
      <w:r w:rsidR="00CB5F5B"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Дополнить содерж</w:t>
      </w:r>
      <w:r w:rsid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ание лекции пунктом 3 </w:t>
      </w:r>
      <w:r w:rsidR="00D3368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«Факторы совершенствования профессионализма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»</w:t>
      </w:r>
      <w:r w:rsidR="00D33680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</w:t>
      </w:r>
      <w:r w:rsidR="008A5CCD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и состави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ть из текста лекции ответы на вопросы к зачёту № 1, № 2 и № 3</w:t>
      </w:r>
      <w:r w:rsid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Ответы расположить под соответствующими вопросами. Объём каждого ответа должен составлять не более 0.5 – 1.0 страницы компьютерного текста, размер шрифта 14, межстрочный интервал полуторный, т. е. 1.5.  </w:t>
      </w:r>
    </w:p>
    <w:p w:rsidR="00AF334E" w:rsidRDefault="00A55620" w:rsidP="00CB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Лекцию с выполненным заданием вернуть</w:t>
      </w:r>
      <w:r w:rsidR="00AF334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на почту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преподавателю </w:t>
      </w:r>
      <w:r w:rsidR="00AF334E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Никитиной Е.Д.:</w:t>
      </w:r>
    </w:p>
    <w:p w:rsidR="00AF334E" w:rsidRPr="00FF274B" w:rsidRDefault="00AF334E" w:rsidP="00CB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Nikitina</w:t>
      </w:r>
      <w:proofErr w:type="spellEnd"/>
      <w:r w:rsidRPr="00FF274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elenadmitrievna</w:t>
      </w:r>
      <w:proofErr w:type="spellEnd"/>
      <w:r w:rsidRPr="00FF274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yandex</w:t>
      </w:r>
      <w:proofErr w:type="spellEnd"/>
      <w:r w:rsidRPr="00FF274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val="en-GB" w:eastAsia="ru-RU"/>
        </w:rPr>
        <w:t>ru</w:t>
      </w:r>
      <w:proofErr w:type="spellEnd"/>
    </w:p>
    <w:p w:rsidR="00CB5F5B" w:rsidRDefault="00CB5F5B" w:rsidP="00CB5F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D48C7" w:rsidRDefault="008D48C7" w:rsidP="006F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Лекция 1</w:t>
      </w:r>
    </w:p>
    <w:p w:rsidR="006F3081" w:rsidRPr="000D11B6" w:rsidRDefault="006F3081" w:rsidP="006F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8825C3" w:rsidRPr="000D11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Профессионализм. Стадии профессионализма</w:t>
      </w:r>
      <w:r w:rsidR="008A1D8F" w:rsidRPr="000D11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  <w:r w:rsidRPr="000D11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CF02A2" w:rsidRPr="000D11B6" w:rsidRDefault="008825C3" w:rsidP="006F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Факторы совершенствования профессионализма</w:t>
      </w:r>
    </w:p>
    <w:p w:rsidR="008D2BC0" w:rsidRDefault="007F790A" w:rsidP="006F3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Учебные вопросы</w:t>
      </w:r>
    </w:p>
    <w:p w:rsidR="007F790A" w:rsidRPr="007F790A" w:rsidRDefault="007F790A" w:rsidP="007F79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7F790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Понятие профессионализма.</w:t>
      </w:r>
    </w:p>
    <w:p w:rsidR="007F790A" w:rsidRDefault="008D2BC0" w:rsidP="007F790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7F790A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 Уровни развития профессионализма.</w:t>
      </w:r>
    </w:p>
    <w:p w:rsidR="00CB5F5B" w:rsidRPr="00CB5F5B" w:rsidRDefault="00CB5F5B" w:rsidP="00CB5F5B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Факторы совершенствования профессионализма</w:t>
      </w:r>
    </w:p>
    <w:p w:rsidR="008D2BC0" w:rsidRPr="00CB5F5B" w:rsidRDefault="008D2BC0" w:rsidP="00CB5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8D2BC0" w:rsidRDefault="008D2BC0" w:rsidP="006F3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6F3081" w:rsidRPr="00CB5F5B" w:rsidRDefault="00CB5F5B" w:rsidP="00CB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B5F5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</w:p>
    <w:p w:rsidR="008825C3" w:rsidRPr="000D11B6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Проблема профессионализма в настоящее время привлекает внимание представителей таких наук – юристов, экономистов, специалистов в области теории управления,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кадроведов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В частности, в исследованиях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кадроведов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и экономистов на примере государственной службы дается следующее понимание сущности профессионализма: профессионализм государственной службы </w:t>
      </w:r>
      <w:proofErr w:type="gram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есть</w:t>
      </w:r>
      <w:proofErr w:type="gram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прежде всего способность работника, коллектива служащих определять с учетом условий и реальных возможностей наиболее перспективные пути и </w:t>
      </w: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>способы реализации поставленных перед ними задач в пределах своих полномочий с учетом условий и реальных возможностей (А. М. Омаров).</w:t>
      </w:r>
    </w:p>
    <w:p w:rsidR="008825C3" w:rsidRPr="000D11B6" w:rsidRDefault="008825C3" w:rsidP="006F3081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Как видим, данное определение существенно отличается от того, что дано в психологических исследованиях, но </w:t>
      </w:r>
      <w:proofErr w:type="gram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опять</w:t>
      </w:r>
      <w:proofErr w:type="gram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же в нем доминирует деятельностный аспект.</w:t>
      </w:r>
    </w:p>
    <w:p w:rsidR="008825C3" w:rsidRPr="000D11B6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На наш взгляд, более перспективным направлением изучения профессионализма является его рассмотрение в неразрывной связи с развитием (в том числе личностно-профессиональным) субъекта труда. Это направление является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акмеологическим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Начавшая формироваться как раздел возрастной психологии – психологии зрелости или взрослости (Н. А. Рыбников),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акмеология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стала самостоятельной наукой. Б. Г. Ананьев указывал на необходимость проведения фундаментальных исследований зрелости, или взрослости, отмечая, что это наиболее важные периоды развития личности, для которых характерна высокая и творческая и социальная активность. Именно данный аспект проблемы – высокая продуктивность деятельности и достижений – стал решающей предпосылкой для формирования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акмеологии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как науки.</w:t>
      </w:r>
    </w:p>
    <w:p w:rsidR="008825C3" w:rsidRPr="000D11B6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В настоящее время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акмеология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определяется как наука, возникшая на стыке естественных, общественных, технических и гуманитарных дисциплин и изучающая закономерности и механизмы развития человека на ступени его зрелости </w:t>
      </w:r>
      <w:proofErr w:type="gram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и</w:t>
      </w:r>
      <w:proofErr w:type="gram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особенно при достижении им наиболее высокого уровня в этом развитии (А. А.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Бодалев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).</w:t>
      </w:r>
    </w:p>
    <w:p w:rsidR="008825C3" w:rsidRPr="000D11B6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 xml:space="preserve">Ступень зрелости, вершина зрелости – </w:t>
      </w:r>
      <w:proofErr w:type="spellStart"/>
      <w:r w:rsidRPr="000D11B6">
        <w:rPr>
          <w:rFonts w:ascii="Times New Roman" w:eastAsia="Times New Roman" w:hAnsi="Times New Roman" w:cs="Times New Roman"/>
          <w:i/>
          <w:iCs/>
          <w:color w:val="424242"/>
          <w:sz w:val="32"/>
          <w:szCs w:val="32"/>
          <w:lang w:eastAsia="ru-RU"/>
        </w:rPr>
        <w:t>акме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– это многомерное состояние человека, охватывающее определенный период его развития, характеризует, насколько он состоялся как гражданин, специалист своего дела, как личность. При этом имеются в </w:t>
      </w:r>
      <w:proofErr w:type="gram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виду</w:t>
      </w:r>
      <w:proofErr w:type="gram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прежде всего достижения в развитии, ведь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по-древнегречески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быть в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означает быть в полном цвете (цветущая пора), на высшей ступени развития.</w:t>
      </w:r>
    </w:p>
    <w:p w:rsidR="008825C3" w:rsidRPr="000D11B6" w:rsidRDefault="008825C3" w:rsidP="00FC6B67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Столь широкое понимание сущности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акмеологического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создало предпосылки для формирования и развития различных направлений в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акмеологии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. В силу общественной потребности наибольшее развитие получило направление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акмеологии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, связанное с достижениями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в профессиональной деятельности, то есть с профессионализмом. Поэтому объектом данного направления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акмеологии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стал именно профессионализм деятельности, а предметом – объективные и субъективные факторы, содействующие или препятствующие достижению вершин профессионализма (А. А. Деркач, Н. В. Кузьмина). При этом в контексте достижения профессионализма рассматривались вопросы, связанные с достижением высокой эффективности или продуктивности деятельности, личностно-профессиональным развитием, оптимизацией деятельности, разработкой новых способов и алгоритмов решения профессиональных задач и многое другое. Доминирование данного направления обусловило преимущественное внимание к разработке деятельностного аспекта профессионализма. Это нашло свое отражение в </w:t>
      </w: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lastRenderedPageBreak/>
        <w:t xml:space="preserve">определении профессионализма как </w:t>
      </w:r>
      <w:r w:rsidRPr="000D11B6">
        <w:rPr>
          <w:rFonts w:ascii="Times New Roman" w:eastAsia="Times New Roman" w:hAnsi="Times New Roman" w:cs="Times New Roman"/>
          <w:i/>
          <w:iCs/>
          <w:color w:val="424242"/>
          <w:sz w:val="32"/>
          <w:szCs w:val="32"/>
          <w:lang w:eastAsia="ru-RU"/>
        </w:rPr>
        <w:t>профессионализма деятельности</w:t>
      </w: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(Кузьмина Н. В.).</w:t>
      </w:r>
    </w:p>
    <w:p w:rsidR="008825C3" w:rsidRPr="000D11B6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Профессионализм деятельности – это качественная характеристика субъекта деятельности – представителя данной профессии, определяющаяся мерой владения им современным содержанием и современными средствами решения профессиональных задач, продуктивными способами ее осуществления. Несмотря на </w:t>
      </w:r>
      <w:proofErr w:type="gram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то</w:t>
      </w:r>
      <w:proofErr w:type="gram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что отмеченная характеристика названа качественной, ее можно описать и с помощью количественных критериев и показателей.</w:t>
      </w:r>
    </w:p>
    <w:p w:rsidR="008825C3" w:rsidRPr="000D11B6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Профессионализм деятельности </w:t>
      </w:r>
      <w:proofErr w:type="gram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характеризуется</w:t>
      </w:r>
      <w:proofErr w:type="gram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прежде всего высокой продуктивностью деятельности. В настоящее время </w:t>
      </w:r>
      <w:proofErr w:type="spellStart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>акмеологическая</w:t>
      </w:r>
      <w:proofErr w:type="spellEnd"/>
      <w:r w:rsidRPr="000D11B6"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  <w:t xml:space="preserve"> категория продуктивности деятельности нуждается в углубленной проработке. Для отдельных видов профессиональной деятельности содержание продуктивности раскрыто довольно полно.</w:t>
      </w:r>
    </w:p>
    <w:p w:rsidR="008825C3" w:rsidRDefault="008825C3" w:rsidP="00F04968">
      <w:pPr>
        <w:spacing w:after="0" w:line="360" w:lineRule="auto"/>
        <w:ind w:left="300" w:right="300" w:firstLine="408"/>
        <w:jc w:val="both"/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</w:pPr>
      <w:r w:rsidRPr="000D11B6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 xml:space="preserve">Данное определение профессионализма деятельности долгое время считалось основополагающим в </w:t>
      </w:r>
      <w:proofErr w:type="spellStart"/>
      <w:r w:rsidRPr="000D11B6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акмеологии</w:t>
      </w:r>
      <w:proofErr w:type="spellEnd"/>
      <w:r w:rsidRPr="000D11B6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 xml:space="preserve">, и сейчас оно является важным методологическим ориентиром. </w:t>
      </w:r>
      <w:proofErr w:type="gramStart"/>
      <w:r w:rsidRPr="000D11B6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 xml:space="preserve">В то же время исследования, проведенные в </w:t>
      </w:r>
      <w:proofErr w:type="spellStart"/>
      <w:r w:rsidRPr="000D11B6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акмеологии</w:t>
      </w:r>
      <w:proofErr w:type="spellEnd"/>
      <w:r w:rsidRPr="000D11B6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 xml:space="preserve"> в последние годы, показали, что целесообразно рассмотрение профессионализма не только в деятельностном контексте, а в неразрывной связи и с личностным, что согласуется с важнейшим методологическим принципом единства деятельности и личности</w:t>
      </w:r>
      <w:r w:rsidR="00CB5F5B">
        <w:rPr>
          <w:rFonts w:ascii="Times New Roman" w:hAnsi="Times New Roman" w:cs="Times New Roman"/>
          <w:color w:val="424242"/>
          <w:sz w:val="32"/>
          <w:szCs w:val="32"/>
          <w:shd w:val="clear" w:color="auto" w:fill="FFFFFF"/>
        </w:rPr>
        <w:t>.</w:t>
      </w:r>
      <w:proofErr w:type="gramEnd"/>
    </w:p>
    <w:p w:rsidR="00CB5F5B" w:rsidRPr="00CB5F5B" w:rsidRDefault="00CB5F5B" w:rsidP="00CB5F5B">
      <w:pPr>
        <w:spacing w:after="0" w:line="360" w:lineRule="auto"/>
        <w:ind w:left="300" w:right="300" w:firstLine="408"/>
        <w:jc w:val="center"/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</w:pPr>
      <w:r w:rsidRPr="00CB5F5B">
        <w:rPr>
          <w:rFonts w:ascii="Times New Roman" w:hAnsi="Times New Roman" w:cs="Times New Roman"/>
          <w:b/>
          <w:color w:val="424242"/>
          <w:sz w:val="32"/>
          <w:szCs w:val="32"/>
          <w:shd w:val="clear" w:color="auto" w:fill="FFFFFF"/>
        </w:rPr>
        <w:t>2</w:t>
      </w:r>
    </w:p>
    <w:p w:rsidR="008825C3" w:rsidRPr="00CB5F5B" w:rsidRDefault="008825C3" w:rsidP="00F04968">
      <w:pPr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5F5B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lastRenderedPageBreak/>
        <w:t>А. К. Маркова выделила 5 уровней профессионализма:</w:t>
      </w:r>
    </w:p>
    <w:p w:rsidR="008825C3" w:rsidRPr="000D11B6" w:rsidRDefault="008825C3" w:rsidP="006F30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Допрофессионализм</w:t>
      </w:r>
      <w:proofErr w:type="gramStart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</w:t>
      </w:r>
      <w:proofErr w:type="gramEnd"/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</w:t>
      </w:r>
      <w:proofErr w:type="spellEnd"/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этом уровне человек выполняет некоторые трудовые действия, не являясь профессионалом. Иными словами, так работает новичок, не овладевший еще трудовыми навыками, не знающий норм и правил профессии. Такой уровень обычно проходят все люди в процессе своей трудовой деятельности, но некоторые (пассивные, нездоровые) могут оставаться на нем долгие годы.</w:t>
      </w:r>
    </w:p>
    <w:p w:rsidR="008825C3" w:rsidRPr="000D11B6" w:rsidRDefault="008825C3" w:rsidP="006F30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Профессионализм.</w:t>
      </w:r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этом уровне человек находится большую часть своей жизни, приобретает профессиональные качества. Так, он усваивает нормы и правила профессии, </w:t>
      </w:r>
      <w:proofErr w:type="gramStart"/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выполняя роль</w:t>
      </w:r>
      <w:proofErr w:type="gramEnd"/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исполнителя и работая по инструкции, затем, овладев специальностью и квалификацией, осуществляет квалифицированную деятельность. Далее, по мере развития мотивационной сферы человек начинает более сознательно относиться к своему труду. Усвоив профессиональные нормы, он повышает результативность своего труда, осознает себя как профессионал, самоутверждается как специалист и стремится повысить свою квалификацию. Понятно, что столь сложная метаморфоза происходит в течение длительного времени, причем у всех людей по-разному.</w:t>
      </w:r>
    </w:p>
    <w:p w:rsidR="008825C3" w:rsidRPr="000D11B6" w:rsidRDefault="008825C3" w:rsidP="006F30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Суперпрофессионализм</w:t>
      </w:r>
      <w:proofErr w:type="spellEnd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этом уровне профессиональная деятельность достигает своего расцвета. Для него характерны наиболее высокие достижения и значительные творческие успехи. Человек становится творцом и как бы выходит «за пределы профессии», обогащая ее своим личным вкладом.</w:t>
      </w:r>
    </w:p>
    <w:p w:rsidR="008825C3" w:rsidRPr="000D11B6" w:rsidRDefault="008825C3" w:rsidP="006F30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>Непрофессионализм (</w:t>
      </w:r>
      <w:proofErr w:type="spellStart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псевдопрофессионализм</w:t>
      </w:r>
      <w:proofErr w:type="spellEnd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).</w:t>
      </w:r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 этом, в отличие от </w:t>
      </w:r>
      <w:proofErr w:type="spellStart"/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допрофессионализма</w:t>
      </w:r>
      <w:proofErr w:type="spellEnd"/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когда у работника еще просто отсутствуют необходимые умения и знания, создается впечатление внешне довольно активной трудовой деятельности, однако человек либо выполняет неэффективную, не соответствующую нормам и требованиям работу, либо прикрывает своими действиями отсутствие профессионализма.</w:t>
      </w:r>
    </w:p>
    <w:p w:rsidR="008825C3" w:rsidRPr="000D11B6" w:rsidRDefault="008825C3" w:rsidP="006F308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Послепрофессионализм</w:t>
      </w:r>
      <w:proofErr w:type="spellEnd"/>
      <w:r w:rsidRPr="000D11B6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</w:t>
      </w:r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Этого уровня достигают все люди пенсионного возраста и переживают его в разной степени. Человек может либо оказаться просто «профессионалом в прошлом», либо стать желанным консультантом, советчиком, наставником, экспертом, открыть новые грани профессионализма, помочь другим людям и духовно обогатить их.</w:t>
      </w:r>
    </w:p>
    <w:p w:rsidR="008825C3" w:rsidRDefault="008825C3" w:rsidP="00F04968">
      <w:pPr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D11B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Профессионализм как высокий стандарт профессиональной деятельности выражается, прежде всего, в стабильности и результативности деятельности и связан с индивидуальным стилем деятельности.</w:t>
      </w:r>
    </w:p>
    <w:p w:rsidR="00CB5F5B" w:rsidRDefault="00CB5F5B" w:rsidP="00CB5F5B">
      <w:pPr>
        <w:spacing w:after="15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B5F5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</w:t>
      </w:r>
    </w:p>
    <w:p w:rsidR="00CB5F5B" w:rsidRDefault="00CB5F5B" w:rsidP="00CB5F5B">
      <w:pPr>
        <w:spacing w:after="15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……………………………………………………………………</w:t>
      </w:r>
    </w:p>
    <w:p w:rsidR="00CB5F5B" w:rsidRPr="00CB5F5B" w:rsidRDefault="00CB5F5B" w:rsidP="00CB5F5B">
      <w:pPr>
        <w:spacing w:after="15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………………………………………………………………………</w:t>
      </w:r>
    </w:p>
    <w:p w:rsidR="00934216" w:rsidRDefault="00934216" w:rsidP="00934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216" w:rsidRDefault="00934216" w:rsidP="00934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934216" w:rsidRDefault="00934216" w:rsidP="00934216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Психолого-педагогические аспекты профессионального мастерства преподавателя вуза (ППАПМПВ)</w:t>
      </w:r>
    </w:p>
    <w:p w:rsidR="00934216" w:rsidRDefault="00934216" w:rsidP="00934216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аспирантов направлений подготовки 49.06.01 и 44.06.01</w:t>
      </w:r>
    </w:p>
    <w:p w:rsidR="00934216" w:rsidRDefault="00934216" w:rsidP="00934216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года обучения </w:t>
      </w:r>
    </w:p>
    <w:p w:rsidR="00934216" w:rsidRDefault="00934216" w:rsidP="00934216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934216" w:rsidRPr="000B131E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13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Понятие профессионализма.</w:t>
      </w:r>
    </w:p>
    <w:p w:rsidR="00934216" w:rsidRPr="000B131E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13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Уровни развития профессионализма.</w:t>
      </w:r>
    </w:p>
    <w:p w:rsidR="00934216" w:rsidRPr="000B131E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13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Факторы совершенствования профессионализма</w:t>
      </w:r>
      <w:r w:rsidR="00361D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934216" w:rsidRDefault="00934216" w:rsidP="0093421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ind w:left="12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Понятие об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акмеологических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инвариантах профессионализма.</w:t>
      </w:r>
    </w:p>
    <w:p w:rsidR="00934216" w:rsidRDefault="00934216" w:rsidP="0093421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ind w:left="121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Профессионально важные качества субъекта труда. </w:t>
      </w:r>
    </w:p>
    <w:p w:rsidR="00934216" w:rsidRDefault="00934216" w:rsidP="0093421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ind w:left="12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Рефлексивная культура субъекта труда. </w:t>
      </w:r>
    </w:p>
    <w:p w:rsidR="00934216" w:rsidRDefault="00934216" w:rsidP="00934216">
      <w:pPr>
        <w:pStyle w:val="a6"/>
        <w:numPr>
          <w:ilvl w:val="0"/>
          <w:numId w:val="6"/>
        </w:numPr>
        <w:spacing w:before="100" w:beforeAutospacing="1" w:after="100" w:afterAutospacing="1" w:line="276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Творчество и мотивация профессиональных достижений.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Возникновение понятия «компетентность» и его применение в педагогике.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Противоречия, наблюдаемые в процессе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компетенций, которыми должен обладать выпускник аспирантуры, обучавшийся по специальности 49.06.01 Физическая культура и спорт.</w:t>
      </w:r>
    </w:p>
    <w:p w:rsidR="00934216" w:rsidRDefault="00934216" w:rsidP="00934216">
      <w:pPr>
        <w:pStyle w:val="a6"/>
        <w:numPr>
          <w:ilvl w:val="0"/>
          <w:numId w:val="6"/>
        </w:numPr>
        <w:spacing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отличие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традиционного подхода к образованию.</w:t>
      </w:r>
    </w:p>
    <w:p w:rsidR="00934216" w:rsidRDefault="00934216" w:rsidP="00934216">
      <w:pPr>
        <w:pStyle w:val="a6"/>
        <w:numPr>
          <w:ilvl w:val="0"/>
          <w:numId w:val="6"/>
        </w:numPr>
        <w:spacing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перехода высшей школы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образования.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деструкций (деформаций) личности.</w:t>
      </w:r>
    </w:p>
    <w:p w:rsidR="00934216" w:rsidRDefault="00934216" w:rsidP="00934216">
      <w:pPr>
        <w:pStyle w:val="a6"/>
        <w:numPr>
          <w:ilvl w:val="0"/>
          <w:numId w:val="6"/>
        </w:numPr>
        <w:spacing w:before="240" w:after="0" w:line="276" w:lineRule="auto"/>
        <w:ind w:left="12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основы профессиональных деформаций. </w:t>
      </w:r>
    </w:p>
    <w:p w:rsidR="00934216" w:rsidRDefault="00934216" w:rsidP="00934216">
      <w:pPr>
        <w:pStyle w:val="a6"/>
        <w:numPr>
          <w:ilvl w:val="0"/>
          <w:numId w:val="6"/>
        </w:numPr>
        <w:spacing w:before="240" w:after="0" w:line="276" w:lineRule="auto"/>
        <w:ind w:left="12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Уровни профессиональных деструкций.</w:t>
      </w:r>
    </w:p>
    <w:p w:rsidR="00934216" w:rsidRDefault="00934216" w:rsidP="00934216">
      <w:pPr>
        <w:pStyle w:val="a6"/>
        <w:numPr>
          <w:ilvl w:val="0"/>
          <w:numId w:val="6"/>
        </w:numPr>
        <w:spacing w:before="240" w:after="0" w:line="276" w:lineRule="auto"/>
        <w:ind w:left="12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деструкции педагога.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барьера в педагогической деятельности. Виды барьеров.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установки на саморазвитие как психологический барьер в педагогической деятельности.</w:t>
      </w:r>
    </w:p>
    <w:p w:rsidR="00934216" w:rsidRDefault="00934216" w:rsidP="00934216">
      <w:pPr>
        <w:pStyle w:val="a6"/>
        <w:numPr>
          <w:ilvl w:val="0"/>
          <w:numId w:val="6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Рефлексивная деятельность педагога по профилактике и преодолению «барьеров». </w:t>
      </w:r>
    </w:p>
    <w:p w:rsidR="00934216" w:rsidRDefault="00934216" w:rsidP="00934216">
      <w:pPr>
        <w:pStyle w:val="a6"/>
        <w:numPr>
          <w:ilvl w:val="0"/>
          <w:numId w:val="6"/>
        </w:numPr>
        <w:spacing w:line="254" w:lineRule="auto"/>
        <w:ind w:left="12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и умения педагогической техники в педагогическом процессе.</w:t>
      </w:r>
    </w:p>
    <w:p w:rsidR="00934216" w:rsidRDefault="00934216" w:rsidP="00934216">
      <w:pPr>
        <w:pStyle w:val="a6"/>
        <w:numPr>
          <w:ilvl w:val="0"/>
          <w:numId w:val="6"/>
        </w:numPr>
        <w:spacing w:line="254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развития умений педагогической техники.</w:t>
      </w:r>
    </w:p>
    <w:p w:rsidR="00934216" w:rsidRDefault="00934216" w:rsidP="00934216">
      <w:pPr>
        <w:pStyle w:val="a6"/>
        <w:numPr>
          <w:ilvl w:val="0"/>
          <w:numId w:val="6"/>
        </w:numPr>
        <w:spacing w:line="254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934216" w:rsidRDefault="00934216" w:rsidP="00934216">
      <w:pPr>
        <w:pStyle w:val="a6"/>
        <w:numPr>
          <w:ilvl w:val="0"/>
          <w:numId w:val="6"/>
        </w:numPr>
        <w:spacing w:line="254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Техника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важнейшии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техники учителя. </w:t>
      </w:r>
    </w:p>
    <w:p w:rsidR="00934216" w:rsidRDefault="00934216" w:rsidP="00934216">
      <w:pPr>
        <w:pStyle w:val="a6"/>
        <w:numPr>
          <w:ilvl w:val="0"/>
          <w:numId w:val="6"/>
        </w:numPr>
        <w:spacing w:before="240" w:after="0" w:line="276" w:lineRule="auto"/>
        <w:ind w:left="12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саморазвития.</w:t>
      </w:r>
    </w:p>
    <w:p w:rsidR="00934216" w:rsidRDefault="00934216" w:rsidP="00934216">
      <w:pPr>
        <w:pStyle w:val="a6"/>
        <w:numPr>
          <w:ilvl w:val="0"/>
          <w:numId w:val="6"/>
        </w:numPr>
        <w:spacing w:before="240" w:after="0" w:line="276" w:lineRule="auto"/>
        <w:ind w:left="121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216" w:rsidRPr="00CB5F5B" w:rsidRDefault="00934216" w:rsidP="00F0496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sectPr w:rsidR="00934216" w:rsidRPr="00CB5F5B" w:rsidSect="0022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B4D"/>
    <w:multiLevelType w:val="multilevel"/>
    <w:tmpl w:val="485EB96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1">
    <w:nsid w:val="208C4A17"/>
    <w:multiLevelType w:val="multilevel"/>
    <w:tmpl w:val="4E22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26D2B"/>
    <w:multiLevelType w:val="hybridMultilevel"/>
    <w:tmpl w:val="16A0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40B9"/>
    <w:multiLevelType w:val="hybridMultilevel"/>
    <w:tmpl w:val="B8F4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21AFF"/>
    <w:multiLevelType w:val="hybridMultilevel"/>
    <w:tmpl w:val="C4B2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1D8F"/>
    <w:rsid w:val="00036065"/>
    <w:rsid w:val="0004024D"/>
    <w:rsid w:val="00042324"/>
    <w:rsid w:val="000A4E4F"/>
    <w:rsid w:val="000B131E"/>
    <w:rsid w:val="000D11B6"/>
    <w:rsid w:val="001A573B"/>
    <w:rsid w:val="00207004"/>
    <w:rsid w:val="00224FB8"/>
    <w:rsid w:val="00296837"/>
    <w:rsid w:val="0034208E"/>
    <w:rsid w:val="00361D75"/>
    <w:rsid w:val="003919A2"/>
    <w:rsid w:val="00562D87"/>
    <w:rsid w:val="00603AFB"/>
    <w:rsid w:val="00632C65"/>
    <w:rsid w:val="006D7211"/>
    <w:rsid w:val="006F3081"/>
    <w:rsid w:val="007F790A"/>
    <w:rsid w:val="00802CD0"/>
    <w:rsid w:val="008825C3"/>
    <w:rsid w:val="008A1D8F"/>
    <w:rsid w:val="008A5CCD"/>
    <w:rsid w:val="008D2BC0"/>
    <w:rsid w:val="008D48C7"/>
    <w:rsid w:val="00934216"/>
    <w:rsid w:val="00A55620"/>
    <w:rsid w:val="00AF334E"/>
    <w:rsid w:val="00B64B5C"/>
    <w:rsid w:val="00B66FA9"/>
    <w:rsid w:val="00CB5F5B"/>
    <w:rsid w:val="00CF02A2"/>
    <w:rsid w:val="00D33680"/>
    <w:rsid w:val="00D74D0A"/>
    <w:rsid w:val="00F04968"/>
    <w:rsid w:val="00FC6B67"/>
    <w:rsid w:val="00FF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D8F"/>
    <w:rPr>
      <w:b/>
      <w:bCs/>
    </w:rPr>
  </w:style>
  <w:style w:type="character" w:styleId="a5">
    <w:name w:val="Emphasis"/>
    <w:basedOn w:val="a0"/>
    <w:uiPriority w:val="20"/>
    <w:qFormat/>
    <w:rsid w:val="008A1D8F"/>
    <w:rPr>
      <w:i/>
      <w:iCs/>
    </w:rPr>
  </w:style>
  <w:style w:type="paragraph" w:styleId="a6">
    <w:name w:val="List Paragraph"/>
    <w:basedOn w:val="a"/>
    <w:uiPriority w:val="34"/>
    <w:qFormat/>
    <w:rsid w:val="008A1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Chubanov Dima</dc:creator>
  <cp:keywords/>
  <dc:description/>
  <cp:lastModifiedBy>nikitina.elenadmitrievna@yandex.ru</cp:lastModifiedBy>
  <cp:revision>22</cp:revision>
  <dcterms:created xsi:type="dcterms:W3CDTF">2020-10-13T19:01:00Z</dcterms:created>
  <dcterms:modified xsi:type="dcterms:W3CDTF">2022-02-11T11:01:00Z</dcterms:modified>
</cp:coreProperties>
</file>